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E35967" w:rsidRPr="00E35967" w:rsidRDefault="00934BE2" w:rsidP="00E35967">
      <w:pPr>
        <w:widowControl w:val="0"/>
        <w:tabs>
          <w:tab w:val="left" w:pos="6261"/>
        </w:tabs>
        <w:spacing w:after="0" w:line="240" w:lineRule="auto"/>
        <w:ind w:left="6804" w:firstLine="0"/>
        <w:jc w:val="left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8725DB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 </w:t>
      </w:r>
    </w:p>
    <w:p w:rsidR="008725DB" w:rsidRPr="0021572E" w:rsidRDefault="00934BE2">
      <w:pPr>
        <w:spacing w:after="16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87776B" w:rsidRDefault="005E4B76" w:rsidP="00EA58EF">
      <w:pPr>
        <w:spacing w:after="0" w:line="259" w:lineRule="auto"/>
        <w:ind w:left="0" w:right="1448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8725DB" w:rsidRPr="0087776B" w:rsidRDefault="00934BE2" w:rsidP="00EA58EF">
      <w:pPr>
        <w:spacing w:after="0" w:line="259" w:lineRule="auto"/>
        <w:ind w:right="1448"/>
        <w:jc w:val="center"/>
        <w:rPr>
          <w:sz w:val="36"/>
          <w:szCs w:val="36"/>
        </w:rPr>
      </w:pPr>
      <w:r w:rsidRPr="0087776B">
        <w:rPr>
          <w:sz w:val="36"/>
          <w:szCs w:val="36"/>
        </w:rPr>
        <w:t xml:space="preserve">по </w:t>
      </w:r>
      <w:r w:rsidR="00985B49" w:rsidRPr="0087776B">
        <w:rPr>
          <w:sz w:val="36"/>
          <w:szCs w:val="36"/>
        </w:rPr>
        <w:t>формированию</w:t>
      </w:r>
      <w:r w:rsidRPr="0087776B">
        <w:rPr>
          <w:sz w:val="36"/>
          <w:szCs w:val="36"/>
        </w:rPr>
        <w:t xml:space="preserve"> </w:t>
      </w:r>
      <w:r w:rsidR="00985B49" w:rsidRPr="0087776B">
        <w:rPr>
          <w:sz w:val="36"/>
          <w:szCs w:val="36"/>
        </w:rPr>
        <w:t>сметы проекта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  <w:bookmarkStart w:id="0" w:name="_GoBack"/>
      <w:bookmarkEnd w:id="0"/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9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8725DB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985B49" w:rsidRDefault="00985B49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:rsidR="00985B49" w:rsidRPr="0021572E" w:rsidRDefault="00985B49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:rsidR="008725DB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szCs w:val="24"/>
        </w:rPr>
        <w:t xml:space="preserve"> </w:t>
      </w:r>
    </w:p>
    <w:p w:rsidR="00F363CC" w:rsidRPr="0021572E" w:rsidRDefault="00F363CC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</w:t>
      </w:r>
    </w:p>
    <w:p w:rsidR="008725DB" w:rsidRPr="0021572E" w:rsidRDefault="00934BE2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21572E">
        <w:rPr>
          <w:rFonts w:ascii="Arial Narrow" w:hAnsi="Arial Narrow"/>
          <w:b/>
          <w:szCs w:val="24"/>
        </w:rPr>
        <w:t xml:space="preserve">  </w:t>
      </w:r>
    </w:p>
    <w:p w:rsidR="008725DB" w:rsidRPr="00B5215F" w:rsidRDefault="008725DB">
      <w:pPr>
        <w:spacing w:after="0" w:line="259" w:lineRule="auto"/>
        <w:ind w:left="0" w:right="0" w:firstLine="0"/>
        <w:jc w:val="left"/>
        <w:rPr>
          <w:rFonts w:ascii="Arial Narrow" w:hAnsi="Arial Narrow"/>
          <w:sz w:val="23"/>
          <w:szCs w:val="23"/>
        </w:rPr>
      </w:pPr>
    </w:p>
    <w:p w:rsidR="00985B49" w:rsidRPr="00B5215F" w:rsidRDefault="00934BE2" w:rsidP="00985B49">
      <w:pPr>
        <w:spacing w:after="0" w:line="259" w:lineRule="auto"/>
        <w:ind w:right="66"/>
        <w:jc w:val="center"/>
        <w:rPr>
          <w:sz w:val="23"/>
          <w:szCs w:val="23"/>
        </w:rPr>
      </w:pPr>
      <w:r w:rsidRPr="00B5215F">
        <w:rPr>
          <w:rFonts w:ascii="Arial Narrow" w:hAnsi="Arial Narrow"/>
          <w:sz w:val="23"/>
          <w:szCs w:val="23"/>
        </w:rPr>
        <w:t xml:space="preserve"> </w:t>
      </w:r>
      <w:r w:rsidR="00C46F10" w:rsidRPr="00B5215F">
        <w:rPr>
          <w:rFonts w:ascii="Arial Narrow" w:hAnsi="Arial Narrow"/>
          <w:sz w:val="23"/>
          <w:szCs w:val="23"/>
        </w:rPr>
        <w:tab/>
      </w:r>
      <w:r w:rsidR="00985B49" w:rsidRPr="00B5215F">
        <w:rPr>
          <w:b/>
          <w:sz w:val="23"/>
          <w:szCs w:val="23"/>
        </w:rPr>
        <w:t xml:space="preserve">Уважаемый Заявитель! </w:t>
      </w:r>
    </w:p>
    <w:p w:rsidR="00985B49" w:rsidRPr="00985B49" w:rsidRDefault="00985B49" w:rsidP="00985B4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RPr="00985B49">
        <w:rPr>
          <w:sz w:val="23"/>
          <w:szCs w:val="23"/>
        </w:rPr>
        <w:t xml:space="preserve"> </w:t>
      </w:r>
    </w:p>
    <w:p w:rsidR="0013308F" w:rsidRPr="00B5215F" w:rsidRDefault="00985B49" w:rsidP="00985B49">
      <w:pPr>
        <w:ind w:left="-15" w:right="52" w:firstLine="698"/>
        <w:rPr>
          <w:sz w:val="23"/>
          <w:szCs w:val="23"/>
        </w:rPr>
      </w:pPr>
      <w:r w:rsidRPr="00985B49">
        <w:rPr>
          <w:sz w:val="23"/>
          <w:szCs w:val="23"/>
        </w:rPr>
        <w:t xml:space="preserve">Смета проекта – документ, определяющий порядок и условия несения расходов в проекте как в части средств займа, так и в части средств </w:t>
      </w:r>
      <w:proofErr w:type="spellStart"/>
      <w:r w:rsidRPr="00985B49">
        <w:rPr>
          <w:sz w:val="23"/>
          <w:szCs w:val="23"/>
        </w:rPr>
        <w:t>софинансирования</w:t>
      </w:r>
      <w:proofErr w:type="spellEnd"/>
      <w:r w:rsidRPr="00985B49">
        <w:rPr>
          <w:sz w:val="23"/>
          <w:szCs w:val="23"/>
        </w:rPr>
        <w:t xml:space="preserve"> проекта со стороны заявителя. </w:t>
      </w:r>
    </w:p>
    <w:p w:rsidR="00985B49" w:rsidRPr="00985B49" w:rsidRDefault="00985B49" w:rsidP="00985B49">
      <w:pPr>
        <w:ind w:left="-15" w:right="52" w:firstLine="698"/>
        <w:rPr>
          <w:sz w:val="23"/>
          <w:szCs w:val="23"/>
        </w:rPr>
      </w:pPr>
      <w:r w:rsidRPr="00985B49">
        <w:rPr>
          <w:sz w:val="23"/>
          <w:szCs w:val="23"/>
        </w:rPr>
        <w:t>В смете проекта отражаются все расходы, включенные в бюджет проекта, определение которого дано в Стандартах Фонда</w:t>
      </w:r>
      <w:r w:rsidR="00C7105F" w:rsidRPr="00B5215F">
        <w:rPr>
          <w:sz w:val="23"/>
          <w:szCs w:val="23"/>
        </w:rPr>
        <w:t xml:space="preserve"> развития промышленности Забайкальского края (микрокредитная компания) (далее – Фонд)</w:t>
      </w:r>
      <w:r w:rsidRPr="00985B49">
        <w:rPr>
          <w:sz w:val="23"/>
          <w:szCs w:val="23"/>
        </w:rPr>
        <w:t xml:space="preserve">, до момента запуска серийного производства. Все суммы расходов в смете проекта, в том числе за счет средств займа, указываются с учетом НДС. </w:t>
      </w:r>
    </w:p>
    <w:p w:rsidR="00985B49" w:rsidRPr="00985B49" w:rsidRDefault="00985B49" w:rsidP="00C7105F">
      <w:pPr>
        <w:spacing w:after="0" w:line="259" w:lineRule="auto"/>
        <w:ind w:left="0" w:right="0" w:firstLine="708"/>
        <w:rPr>
          <w:sz w:val="23"/>
          <w:szCs w:val="23"/>
        </w:rPr>
      </w:pPr>
      <w:r w:rsidRPr="00985B49">
        <w:rPr>
          <w:sz w:val="23"/>
          <w:szCs w:val="23"/>
        </w:rPr>
        <w:t xml:space="preserve"> Распределение средств в Смете должно соответствовать требованиям Стандартов деятельности Фонда в части программы финансирования и ограничений, установленных в отношении отдельных групп расходов. </w:t>
      </w:r>
    </w:p>
    <w:p w:rsidR="00985B49" w:rsidRPr="00985B49" w:rsidRDefault="00985B49" w:rsidP="00985B49">
      <w:pPr>
        <w:ind w:left="-15" w:right="52" w:firstLine="698"/>
        <w:rPr>
          <w:sz w:val="23"/>
          <w:szCs w:val="23"/>
        </w:rPr>
      </w:pPr>
      <w:r w:rsidRPr="00985B49">
        <w:rPr>
          <w:sz w:val="23"/>
          <w:szCs w:val="23"/>
        </w:rPr>
        <w:t xml:space="preserve">Смета проекта впоследствии будет являться частью договора займа, заключаемого с Фондом. </w:t>
      </w:r>
    </w:p>
    <w:p w:rsidR="00985B49" w:rsidRPr="00985B49" w:rsidRDefault="00985B49" w:rsidP="00985B49">
      <w:pPr>
        <w:spacing w:after="0" w:line="259" w:lineRule="auto"/>
        <w:ind w:left="708" w:right="0" w:firstLine="0"/>
        <w:jc w:val="left"/>
        <w:rPr>
          <w:sz w:val="23"/>
          <w:szCs w:val="23"/>
        </w:rPr>
      </w:pPr>
      <w:r w:rsidRPr="00985B49">
        <w:rPr>
          <w:sz w:val="23"/>
          <w:szCs w:val="23"/>
        </w:rPr>
        <w:t xml:space="preserve"> </w:t>
      </w:r>
    </w:p>
    <w:p w:rsidR="00FC14E2" w:rsidRPr="00FC14E2" w:rsidRDefault="00FC14E2" w:rsidP="00FC14E2">
      <w:pPr>
        <w:spacing w:after="0" w:line="259" w:lineRule="auto"/>
        <w:ind w:right="249"/>
        <w:jc w:val="center"/>
        <w:rPr>
          <w:sz w:val="23"/>
          <w:szCs w:val="23"/>
        </w:rPr>
      </w:pPr>
      <w:r w:rsidRPr="00FC14E2">
        <w:rPr>
          <w:sz w:val="23"/>
          <w:szCs w:val="23"/>
        </w:rPr>
        <w:t xml:space="preserve">Формат Сметы проекта предусматривает разнесение всех расходов: </w:t>
      </w:r>
    </w:p>
    <w:p w:rsidR="00FC14E2" w:rsidRPr="00FC14E2" w:rsidRDefault="00FC14E2" w:rsidP="007A431A">
      <w:pPr>
        <w:numPr>
          <w:ilvl w:val="0"/>
          <w:numId w:val="49"/>
        </w:numPr>
        <w:tabs>
          <w:tab w:val="left" w:pos="0"/>
          <w:tab w:val="left" w:pos="993"/>
        </w:tabs>
        <w:ind w:left="0" w:right="52" w:firstLine="567"/>
        <w:rPr>
          <w:sz w:val="23"/>
          <w:szCs w:val="23"/>
        </w:rPr>
      </w:pPr>
      <w:r w:rsidRPr="00FC14E2">
        <w:rPr>
          <w:i/>
          <w:sz w:val="23"/>
          <w:szCs w:val="23"/>
        </w:rPr>
        <w:t>По горизонтальным строкам</w:t>
      </w:r>
      <w:r w:rsidRPr="00FC14E2">
        <w:rPr>
          <w:sz w:val="23"/>
          <w:szCs w:val="23"/>
        </w:rPr>
        <w:t xml:space="preserve"> </w:t>
      </w:r>
      <w:r w:rsidR="0013308F" w:rsidRPr="00B5215F">
        <w:rPr>
          <w:sz w:val="23"/>
          <w:szCs w:val="23"/>
        </w:rPr>
        <w:t>– источники финансирования проекта, как уже понесенные расходы, так и планируемые расходы за счет средств займа и иных источников</w:t>
      </w:r>
      <w:r w:rsidRPr="00FC14E2">
        <w:rPr>
          <w:sz w:val="23"/>
          <w:szCs w:val="23"/>
        </w:rPr>
        <w:t xml:space="preserve">, </w:t>
      </w:r>
    </w:p>
    <w:p w:rsidR="00FC14E2" w:rsidRPr="00FC14E2" w:rsidRDefault="00FC14E2" w:rsidP="007A431A">
      <w:pPr>
        <w:numPr>
          <w:ilvl w:val="0"/>
          <w:numId w:val="49"/>
        </w:numPr>
        <w:tabs>
          <w:tab w:val="left" w:pos="0"/>
          <w:tab w:val="left" w:pos="993"/>
        </w:tabs>
        <w:ind w:left="0" w:right="52" w:firstLine="567"/>
        <w:rPr>
          <w:sz w:val="23"/>
          <w:szCs w:val="23"/>
        </w:rPr>
      </w:pPr>
      <w:r w:rsidRPr="00FC14E2">
        <w:rPr>
          <w:i/>
          <w:sz w:val="23"/>
          <w:szCs w:val="23"/>
        </w:rPr>
        <w:t>По вертикали</w:t>
      </w:r>
      <w:r w:rsidRPr="00FC14E2">
        <w:rPr>
          <w:sz w:val="23"/>
          <w:szCs w:val="23"/>
        </w:rPr>
        <w:t xml:space="preserve"> - </w:t>
      </w:r>
      <w:r w:rsidR="0013308F" w:rsidRPr="00FC14E2">
        <w:rPr>
          <w:sz w:val="23"/>
          <w:szCs w:val="23"/>
        </w:rPr>
        <w:t>Направления целевого использования</w:t>
      </w:r>
      <w:r w:rsidR="0013308F" w:rsidRPr="00B5215F">
        <w:rPr>
          <w:sz w:val="23"/>
          <w:szCs w:val="23"/>
        </w:rPr>
        <w:t xml:space="preserve"> </w:t>
      </w:r>
      <w:r w:rsidR="0013308F" w:rsidRPr="00FC14E2">
        <w:rPr>
          <w:sz w:val="23"/>
          <w:szCs w:val="23"/>
        </w:rPr>
        <w:t>средств</w:t>
      </w:r>
      <w:r w:rsidR="0013308F" w:rsidRPr="00B5215F">
        <w:rPr>
          <w:sz w:val="23"/>
          <w:szCs w:val="23"/>
        </w:rPr>
        <w:t xml:space="preserve"> и </w:t>
      </w:r>
      <w:r w:rsidRPr="00FC14E2">
        <w:rPr>
          <w:sz w:val="23"/>
          <w:szCs w:val="23"/>
        </w:rPr>
        <w:t xml:space="preserve">Виды затрат внутри каждого направления расходования средств. </w:t>
      </w:r>
    </w:p>
    <w:p w:rsidR="007A431A" w:rsidRPr="00B5215F" w:rsidRDefault="007A431A" w:rsidP="00FC14E2">
      <w:pPr>
        <w:spacing w:after="26"/>
        <w:ind w:left="-15" w:right="52" w:firstLine="698"/>
        <w:rPr>
          <w:sz w:val="23"/>
          <w:szCs w:val="23"/>
        </w:rPr>
      </w:pPr>
    </w:p>
    <w:p w:rsidR="00FC14E2" w:rsidRPr="00B5215F" w:rsidRDefault="00FC14E2" w:rsidP="00FC14E2">
      <w:pPr>
        <w:spacing w:after="26"/>
        <w:ind w:left="-15" w:right="52" w:firstLine="698"/>
        <w:rPr>
          <w:sz w:val="23"/>
          <w:szCs w:val="23"/>
        </w:rPr>
      </w:pPr>
      <w:r w:rsidRPr="00FC14E2">
        <w:rPr>
          <w:sz w:val="23"/>
          <w:szCs w:val="23"/>
        </w:rPr>
        <w:t xml:space="preserve">Расходы, которые могут быть запланированы Вами за счет средств займа, отражаются в незаполненных полях Сметы. </w:t>
      </w:r>
    </w:p>
    <w:p w:rsidR="00FC14E2" w:rsidRPr="00FC14E2" w:rsidRDefault="00FC14E2" w:rsidP="00FC14E2">
      <w:pPr>
        <w:spacing w:after="26"/>
        <w:ind w:left="-15" w:right="52" w:firstLine="698"/>
        <w:rPr>
          <w:sz w:val="23"/>
          <w:szCs w:val="23"/>
        </w:rPr>
      </w:pPr>
      <w:r w:rsidRPr="00FC14E2">
        <w:rPr>
          <w:sz w:val="23"/>
          <w:szCs w:val="23"/>
        </w:rPr>
        <w:t xml:space="preserve">Требования к объему </w:t>
      </w:r>
      <w:proofErr w:type="spellStart"/>
      <w:r w:rsidRPr="00FC14E2">
        <w:rPr>
          <w:sz w:val="23"/>
          <w:szCs w:val="23"/>
        </w:rPr>
        <w:t>софинансирования</w:t>
      </w:r>
      <w:proofErr w:type="spellEnd"/>
      <w:r w:rsidRPr="00FC14E2">
        <w:rPr>
          <w:sz w:val="23"/>
          <w:szCs w:val="23"/>
        </w:rPr>
        <w:t xml:space="preserve"> могут отличаться в зависимости от программы финансирования. </w:t>
      </w:r>
    </w:p>
    <w:p w:rsidR="00FC14E2" w:rsidRPr="00B5215F" w:rsidRDefault="00FC14E2" w:rsidP="00FC14E2">
      <w:pPr>
        <w:spacing w:after="27"/>
        <w:ind w:left="-15" w:right="52" w:firstLine="698"/>
        <w:rPr>
          <w:sz w:val="23"/>
          <w:szCs w:val="23"/>
        </w:rPr>
      </w:pPr>
      <w:r w:rsidRPr="00FC14E2">
        <w:rPr>
          <w:sz w:val="23"/>
          <w:szCs w:val="23"/>
        </w:rPr>
        <w:t xml:space="preserve">Основная задача Заявителя при подготовке Сметы проекта – обоснованно запланировать расходы проекта. Включение в смету экономически целесообразных и непосредственно связанных с проектом расходов в будущем позволит Заемщику избежать затруднений при расходовании средств выделенного займа. </w:t>
      </w:r>
    </w:p>
    <w:p w:rsidR="00FC14E2" w:rsidRPr="00FC14E2" w:rsidRDefault="00FC14E2" w:rsidP="00FC14E2">
      <w:pPr>
        <w:spacing w:after="27"/>
        <w:ind w:left="-15" w:right="52" w:firstLine="698"/>
        <w:rPr>
          <w:sz w:val="23"/>
          <w:szCs w:val="23"/>
        </w:rPr>
      </w:pPr>
      <w:r w:rsidRPr="00FC14E2">
        <w:rPr>
          <w:sz w:val="23"/>
          <w:szCs w:val="23"/>
        </w:rPr>
        <w:t xml:space="preserve">Сумма займа перечисляется на специально открытый для финансирования проекта </w:t>
      </w:r>
      <w:r w:rsidRPr="00B5215F">
        <w:rPr>
          <w:sz w:val="23"/>
          <w:szCs w:val="23"/>
        </w:rPr>
        <w:t xml:space="preserve">расчетный </w:t>
      </w:r>
      <w:r w:rsidRPr="00FC14E2">
        <w:rPr>
          <w:sz w:val="23"/>
          <w:szCs w:val="23"/>
        </w:rPr>
        <w:t xml:space="preserve">счет, списание средств с которого производится после акцепта Фондом платежа и (в установленных случаях) согласования получателя платежа. </w:t>
      </w:r>
    </w:p>
    <w:p w:rsidR="00FC14E2" w:rsidRPr="00FC14E2" w:rsidRDefault="00FC14E2" w:rsidP="00FC14E2">
      <w:pPr>
        <w:spacing w:after="146"/>
        <w:ind w:left="-15" w:right="52" w:firstLine="698"/>
        <w:rPr>
          <w:sz w:val="23"/>
          <w:szCs w:val="23"/>
        </w:rPr>
      </w:pPr>
      <w:r w:rsidRPr="00FC14E2">
        <w:rPr>
          <w:sz w:val="23"/>
          <w:szCs w:val="23"/>
        </w:rPr>
        <w:t xml:space="preserve">После заключения договора займа Фонд вправе на этапе акцепта платежей отказать Заемщику в перечислении средств в адрес того или иного получателя, если такой платеж не относится к проекту, не может быть произведен за счет средств займа или его характер иным образом противоречит действующему законодательству или стандартам Фонда. Регламент согласования Фондом операций по расходованию средств займа, в том числе перечень оснований, по которым Фонд вправе отказать Заемщику в акцепте платежа, изложен в Приложении договора займа, с которым рекомендуем Вам ознакомиться. </w:t>
      </w:r>
    </w:p>
    <w:p w:rsidR="0013308F" w:rsidRPr="00B177BC" w:rsidRDefault="0013308F" w:rsidP="0013308F">
      <w:pPr>
        <w:spacing w:after="117" w:line="259" w:lineRule="auto"/>
        <w:ind w:left="-5" w:right="0"/>
        <w:jc w:val="left"/>
        <w:rPr>
          <w:color w:val="auto"/>
          <w:sz w:val="23"/>
          <w:szCs w:val="23"/>
        </w:rPr>
      </w:pPr>
      <w:r w:rsidRPr="00B177BC">
        <w:rPr>
          <w:b/>
          <w:color w:val="auto"/>
          <w:sz w:val="23"/>
          <w:szCs w:val="23"/>
        </w:rPr>
        <w:t xml:space="preserve">Распределение средств </w:t>
      </w:r>
      <w:proofErr w:type="spellStart"/>
      <w:r w:rsidRPr="00B177BC">
        <w:rPr>
          <w:b/>
          <w:color w:val="auto"/>
          <w:sz w:val="23"/>
          <w:szCs w:val="23"/>
        </w:rPr>
        <w:t>софинансирования</w:t>
      </w:r>
      <w:proofErr w:type="spellEnd"/>
      <w:r w:rsidRPr="00B177BC">
        <w:rPr>
          <w:b/>
          <w:color w:val="auto"/>
          <w:sz w:val="23"/>
          <w:szCs w:val="23"/>
        </w:rPr>
        <w:t xml:space="preserve"> и средств займа в Смете проекта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 xml:space="preserve">Требования к минимальному объему </w:t>
      </w:r>
      <w:proofErr w:type="spellStart"/>
      <w:r w:rsidRPr="0013308F">
        <w:rPr>
          <w:sz w:val="23"/>
          <w:szCs w:val="23"/>
        </w:rPr>
        <w:t>софинансирования</w:t>
      </w:r>
      <w:proofErr w:type="spellEnd"/>
      <w:r w:rsidRPr="0013308F">
        <w:rPr>
          <w:sz w:val="23"/>
          <w:szCs w:val="23"/>
        </w:rPr>
        <w:t xml:space="preserve"> проекта со стороны Заявителя определяются выбранной Программой финансирования</w:t>
      </w:r>
      <w:r w:rsidRPr="00B5215F">
        <w:rPr>
          <w:sz w:val="23"/>
          <w:szCs w:val="23"/>
        </w:rPr>
        <w:t xml:space="preserve"> Фонда</w:t>
      </w:r>
      <w:r w:rsidRPr="0013308F">
        <w:rPr>
          <w:sz w:val="23"/>
          <w:szCs w:val="23"/>
        </w:rPr>
        <w:t xml:space="preserve">.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 xml:space="preserve">Стандарты содержат подробные сведения о том, какое софинансирование проекта обязан обеспечить Заявитель за счет привлечения в проект собственных средств компании, средств акционеров компании, банковских кредитов, средств частных инвесторов. Важно помнить, что средства субсидий, выделенных для реализации проекта из государственного бюджета, не могут быть приведены как средства </w:t>
      </w:r>
      <w:proofErr w:type="spellStart"/>
      <w:r w:rsidRPr="0013308F">
        <w:rPr>
          <w:sz w:val="23"/>
          <w:szCs w:val="23"/>
        </w:rPr>
        <w:t>софинансирования</w:t>
      </w:r>
      <w:proofErr w:type="spellEnd"/>
      <w:r w:rsidRPr="0013308F">
        <w:rPr>
          <w:sz w:val="23"/>
          <w:szCs w:val="23"/>
        </w:rPr>
        <w:t xml:space="preserve">, </w:t>
      </w:r>
      <w:r w:rsidRPr="0013308F">
        <w:rPr>
          <w:sz w:val="23"/>
          <w:szCs w:val="23"/>
        </w:rPr>
        <w:lastRenderedPageBreak/>
        <w:t xml:space="preserve">даже если они фактически используются для целей проекта. Также в качестве </w:t>
      </w:r>
      <w:proofErr w:type="spellStart"/>
      <w:r w:rsidRPr="0013308F">
        <w:rPr>
          <w:sz w:val="23"/>
          <w:szCs w:val="23"/>
        </w:rPr>
        <w:t>софинансирования</w:t>
      </w:r>
      <w:proofErr w:type="spellEnd"/>
      <w:r w:rsidRPr="0013308F">
        <w:rPr>
          <w:sz w:val="23"/>
          <w:szCs w:val="23"/>
        </w:rPr>
        <w:t xml:space="preserve"> не может быть учтена прибыль, генерируемая данным проектом.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 xml:space="preserve">В Смете проекта Заявитель указывает средства </w:t>
      </w:r>
      <w:proofErr w:type="spellStart"/>
      <w:r w:rsidRPr="0013308F">
        <w:rPr>
          <w:sz w:val="23"/>
          <w:szCs w:val="23"/>
        </w:rPr>
        <w:t>софинансирования</w:t>
      </w:r>
      <w:proofErr w:type="spellEnd"/>
      <w:r w:rsidRPr="0013308F">
        <w:rPr>
          <w:sz w:val="23"/>
          <w:szCs w:val="23"/>
        </w:rPr>
        <w:t xml:space="preserve">, вложенные в проект в течение предшествующих периодов (такой срок также определяется Стандартом для каждой программы финансирования). К примеру, если Стандарт предусматривает возможность учета расходов по проекту, понесенных Заявителем за 2 предшествующих года, для проекта, заявка </w:t>
      </w:r>
      <w:proofErr w:type="gramStart"/>
      <w:r w:rsidRPr="0013308F">
        <w:rPr>
          <w:sz w:val="23"/>
          <w:szCs w:val="23"/>
        </w:rPr>
        <w:t>на финансирование</w:t>
      </w:r>
      <w:proofErr w:type="gramEnd"/>
      <w:r w:rsidRPr="0013308F">
        <w:rPr>
          <w:sz w:val="23"/>
          <w:szCs w:val="23"/>
        </w:rPr>
        <w:t xml:space="preserve"> которого подана </w:t>
      </w:r>
      <w:r w:rsidRPr="00B5215F">
        <w:rPr>
          <w:sz w:val="23"/>
          <w:szCs w:val="23"/>
        </w:rPr>
        <w:t>в июле</w:t>
      </w:r>
      <w:r w:rsidRPr="0013308F">
        <w:rPr>
          <w:sz w:val="23"/>
          <w:szCs w:val="23"/>
        </w:rPr>
        <w:t xml:space="preserve"> 20</w:t>
      </w:r>
      <w:r w:rsidRPr="00B5215F">
        <w:rPr>
          <w:sz w:val="23"/>
          <w:szCs w:val="23"/>
        </w:rPr>
        <w:t>21</w:t>
      </w:r>
      <w:r w:rsidRPr="0013308F">
        <w:rPr>
          <w:sz w:val="23"/>
          <w:szCs w:val="23"/>
        </w:rPr>
        <w:t xml:space="preserve"> г., могут быть указаны расходы за счет средств </w:t>
      </w:r>
      <w:proofErr w:type="spellStart"/>
      <w:r w:rsidRPr="0013308F">
        <w:rPr>
          <w:sz w:val="23"/>
          <w:szCs w:val="23"/>
        </w:rPr>
        <w:t>софинансирования</w:t>
      </w:r>
      <w:proofErr w:type="spellEnd"/>
      <w:r w:rsidRPr="0013308F">
        <w:rPr>
          <w:sz w:val="23"/>
          <w:szCs w:val="23"/>
        </w:rPr>
        <w:t>, фактически понесенные (оплаченные)</w:t>
      </w:r>
      <w:r w:rsidR="00342B66" w:rsidRPr="00B5215F">
        <w:rPr>
          <w:sz w:val="23"/>
          <w:szCs w:val="23"/>
        </w:rPr>
        <w:t>,</w:t>
      </w:r>
      <w:r w:rsidRPr="0013308F">
        <w:rPr>
          <w:sz w:val="23"/>
          <w:szCs w:val="23"/>
        </w:rPr>
        <w:t xml:space="preserve"> начиная с </w:t>
      </w:r>
      <w:r w:rsidRPr="00B5215F">
        <w:rPr>
          <w:sz w:val="23"/>
          <w:szCs w:val="23"/>
        </w:rPr>
        <w:t>августа 2019</w:t>
      </w:r>
      <w:r w:rsidRPr="0013308F">
        <w:rPr>
          <w:sz w:val="23"/>
          <w:szCs w:val="23"/>
        </w:rPr>
        <w:t xml:space="preserve"> г.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 xml:space="preserve">На этапе комплексной экспертизы Заявитель обязан документально подтвердить Фонду понесенные в предшествующих периодах расходы по проекту.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>Данные о понесенных расходах подлежат отражению в раздел</w:t>
      </w:r>
      <w:r w:rsidR="00E514A2" w:rsidRPr="00B5215F">
        <w:rPr>
          <w:sz w:val="23"/>
          <w:szCs w:val="23"/>
        </w:rPr>
        <w:t>ах</w:t>
      </w:r>
      <w:r w:rsidRPr="0013308F">
        <w:rPr>
          <w:sz w:val="23"/>
          <w:szCs w:val="23"/>
        </w:rPr>
        <w:t xml:space="preserve"> Сметы </w:t>
      </w:r>
      <w:r w:rsidR="00E514A2" w:rsidRPr="00B5215F">
        <w:rPr>
          <w:sz w:val="23"/>
          <w:szCs w:val="23"/>
        </w:rPr>
        <w:t xml:space="preserve">«Уже произведенные расходы» и </w:t>
      </w:r>
      <w:r w:rsidRPr="0013308F">
        <w:rPr>
          <w:sz w:val="23"/>
          <w:szCs w:val="23"/>
        </w:rPr>
        <w:t>"</w:t>
      </w:r>
      <w:r w:rsidRPr="00B5215F">
        <w:rPr>
          <w:sz w:val="23"/>
          <w:szCs w:val="23"/>
        </w:rPr>
        <w:t xml:space="preserve">Расшифровка </w:t>
      </w:r>
      <w:r w:rsidR="00E514A2" w:rsidRPr="00B5215F">
        <w:rPr>
          <w:sz w:val="23"/>
          <w:szCs w:val="23"/>
        </w:rPr>
        <w:t>источников финансирования по проекту</w:t>
      </w:r>
      <w:r w:rsidRPr="0013308F">
        <w:rPr>
          <w:sz w:val="23"/>
          <w:szCs w:val="23"/>
        </w:rPr>
        <w:t xml:space="preserve">".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 xml:space="preserve">Планируемые расходы по </w:t>
      </w:r>
      <w:proofErr w:type="spellStart"/>
      <w:r w:rsidRPr="0013308F">
        <w:rPr>
          <w:sz w:val="23"/>
          <w:szCs w:val="23"/>
        </w:rPr>
        <w:t>софинансированию</w:t>
      </w:r>
      <w:proofErr w:type="spellEnd"/>
      <w:r w:rsidRPr="0013308F">
        <w:rPr>
          <w:sz w:val="23"/>
          <w:szCs w:val="23"/>
        </w:rPr>
        <w:t xml:space="preserve">, приведенные в Смете, должны в разбивке по годам корреспондировать с Целевым показателем эффективности использования займа "Объем средств частных инвесторов, привлекаемых для реализации Проекта дополнительно к сумме предоставленного Займа (все источники финансирования на реализацию проекта, включая собственные средства компании, привлекаемые кредиты, вложения физических лиц, средства инвесторов и иные средства и источники финансирования, за исключением Займа Фонда и бюджетных средств финансирования)". </w:t>
      </w:r>
    </w:p>
    <w:p w:rsidR="0013308F" w:rsidRPr="0013308F" w:rsidRDefault="0013308F" w:rsidP="0013308F">
      <w:pPr>
        <w:ind w:left="-15" w:right="52" w:firstLine="698"/>
        <w:rPr>
          <w:sz w:val="23"/>
          <w:szCs w:val="23"/>
        </w:rPr>
      </w:pPr>
      <w:r w:rsidRPr="0013308F">
        <w:rPr>
          <w:sz w:val="23"/>
          <w:szCs w:val="23"/>
        </w:rPr>
        <w:t xml:space="preserve">Целевые показатели являются частью Резюме проекта и далее – приложением к договору займа. Их выполнение Заемщиком будет предметом контроля со стороны Фонда в течение всего срока действия договора займа и по завершении Проекта. </w:t>
      </w:r>
    </w:p>
    <w:p w:rsidR="003F10B2" w:rsidRPr="00B5215F" w:rsidRDefault="003F10B2" w:rsidP="00E514A2">
      <w:pPr>
        <w:spacing w:after="155" w:line="259" w:lineRule="auto"/>
        <w:ind w:left="-5" w:right="0"/>
        <w:jc w:val="left"/>
        <w:rPr>
          <w:b/>
          <w:color w:val="C00000"/>
          <w:sz w:val="23"/>
          <w:szCs w:val="23"/>
          <w:u w:val="single" w:color="C00000"/>
        </w:rPr>
      </w:pPr>
    </w:p>
    <w:p w:rsidR="00E514A2" w:rsidRPr="00B177BC" w:rsidRDefault="00E514A2" w:rsidP="00E514A2">
      <w:pPr>
        <w:spacing w:after="155" w:line="259" w:lineRule="auto"/>
        <w:ind w:left="-5" w:right="0"/>
        <w:jc w:val="left"/>
        <w:rPr>
          <w:color w:val="auto"/>
          <w:sz w:val="23"/>
          <w:szCs w:val="23"/>
        </w:rPr>
      </w:pPr>
      <w:r w:rsidRPr="00B177BC">
        <w:rPr>
          <w:b/>
          <w:color w:val="auto"/>
          <w:sz w:val="23"/>
          <w:szCs w:val="23"/>
        </w:rPr>
        <w:t xml:space="preserve">Распределение средств займа в Смете по Видам затрат (по вертикали в Смете) </w:t>
      </w:r>
    </w:p>
    <w:p w:rsidR="00E514A2" w:rsidRPr="00E514A2" w:rsidRDefault="00E514A2" w:rsidP="00E514A2">
      <w:pPr>
        <w:ind w:left="-15" w:right="52" w:firstLine="698"/>
        <w:rPr>
          <w:sz w:val="23"/>
          <w:szCs w:val="23"/>
        </w:rPr>
      </w:pPr>
      <w:r w:rsidRPr="00E514A2">
        <w:rPr>
          <w:sz w:val="23"/>
          <w:szCs w:val="23"/>
        </w:rPr>
        <w:t xml:space="preserve">Распределение средств займа по видам затрат определяется Заявителем самостоятельно, исходя из планов выполнения работ в проекте: собственными силами, с привлечением сторонних подрядчиков, с приобретением материалов и оборудования или без такового. </w:t>
      </w:r>
    </w:p>
    <w:p w:rsidR="00E514A2" w:rsidRPr="00B5215F" w:rsidRDefault="00E514A2" w:rsidP="00E514A2">
      <w:pPr>
        <w:spacing w:after="113"/>
        <w:ind w:left="-15" w:right="52" w:firstLine="698"/>
        <w:rPr>
          <w:sz w:val="23"/>
          <w:szCs w:val="23"/>
        </w:rPr>
      </w:pPr>
      <w:r w:rsidRPr="00E514A2">
        <w:rPr>
          <w:sz w:val="23"/>
          <w:szCs w:val="23"/>
        </w:rPr>
        <w:t xml:space="preserve">Условия получения заявителями целевого займа для реализации проекта по программам Фонда налагают на будущих заемщиков обязательства по целевому и эффективному расходованию средств. </w:t>
      </w:r>
      <w:r w:rsidRPr="00B5215F">
        <w:rPr>
          <w:sz w:val="23"/>
          <w:szCs w:val="23"/>
        </w:rPr>
        <w:t>Заявитель (а после заключения договора займа - заемщик) при включении всех групп расходов в Смету проекта должен подтвердить рыночное ценообразование при осуществлении закупок товаров, работ (услуг), а при необходимости (или по запросу Фонда) - документально обосновать такие расходы.</w:t>
      </w:r>
    </w:p>
    <w:p w:rsidR="009859A1" w:rsidRPr="00B5215F" w:rsidRDefault="00E514A2" w:rsidP="00E514A2">
      <w:pPr>
        <w:spacing w:after="113"/>
        <w:ind w:left="-15" w:right="52" w:firstLine="698"/>
        <w:rPr>
          <w:sz w:val="23"/>
          <w:szCs w:val="23"/>
        </w:rPr>
      </w:pPr>
      <w:r w:rsidRPr="00B5215F">
        <w:rPr>
          <w:sz w:val="23"/>
          <w:szCs w:val="23"/>
        </w:rPr>
        <w:t>При заключении договоров на поставку товаров, работ (услуг) Фонд вправе запросить документальное обоснование выбора поставщика/исполнителя</w:t>
      </w:r>
      <w:r w:rsidR="009859A1" w:rsidRPr="00B5215F">
        <w:rPr>
          <w:sz w:val="23"/>
          <w:szCs w:val="23"/>
        </w:rPr>
        <w:t xml:space="preserve">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поставщика/исполнителя соответствующей правоспособности. Дополнительно Фонд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 </w:t>
      </w:r>
    </w:p>
    <w:p w:rsidR="00B5215F" w:rsidRDefault="00B5215F" w:rsidP="00E514A2">
      <w:pPr>
        <w:spacing w:after="113"/>
        <w:ind w:left="-15" w:right="52" w:firstLine="698"/>
        <w:rPr>
          <w:b/>
          <w:szCs w:val="24"/>
          <w:u w:val="single"/>
        </w:rPr>
      </w:pPr>
    </w:p>
    <w:p w:rsidR="00B5215F" w:rsidRDefault="00B5215F" w:rsidP="00E514A2">
      <w:pPr>
        <w:spacing w:after="113"/>
        <w:ind w:left="-15" w:right="52" w:firstLine="698"/>
        <w:rPr>
          <w:b/>
          <w:szCs w:val="24"/>
          <w:u w:val="single"/>
        </w:rPr>
      </w:pPr>
    </w:p>
    <w:p w:rsidR="00B5215F" w:rsidRDefault="00B5215F" w:rsidP="00E514A2">
      <w:pPr>
        <w:spacing w:after="113"/>
        <w:ind w:left="-15" w:right="52" w:firstLine="698"/>
        <w:rPr>
          <w:b/>
          <w:szCs w:val="24"/>
          <w:u w:val="single"/>
        </w:rPr>
      </w:pPr>
    </w:p>
    <w:p w:rsidR="00B5215F" w:rsidRDefault="00B5215F" w:rsidP="00E514A2">
      <w:pPr>
        <w:spacing w:after="113"/>
        <w:ind w:left="-15" w:right="52" w:firstLine="698"/>
        <w:rPr>
          <w:b/>
          <w:szCs w:val="24"/>
          <w:u w:val="single"/>
        </w:rPr>
      </w:pPr>
    </w:p>
    <w:p w:rsidR="007A431A" w:rsidRPr="00B177BC" w:rsidRDefault="007A431A" w:rsidP="00E514A2">
      <w:pPr>
        <w:spacing w:after="113"/>
        <w:ind w:left="-15" w:right="52" w:firstLine="698"/>
        <w:rPr>
          <w:b/>
          <w:sz w:val="23"/>
          <w:szCs w:val="23"/>
        </w:rPr>
      </w:pPr>
      <w:r w:rsidRPr="00B177BC">
        <w:rPr>
          <w:b/>
          <w:sz w:val="23"/>
          <w:szCs w:val="23"/>
        </w:rPr>
        <w:lastRenderedPageBreak/>
        <w:t>Типовая форма Сметы проекта: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2126"/>
        <w:gridCol w:w="1701"/>
      </w:tblGrid>
      <w:tr w:rsidR="00C7105F" w:rsidRPr="00E514A2" w:rsidTr="00442263">
        <w:trPr>
          <w:trHeight w:val="40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E514A2" w:rsidRDefault="00934BE2" w:rsidP="00C7105F">
            <w:pPr>
              <w:tabs>
                <w:tab w:val="left" w:pos="0"/>
              </w:tabs>
              <w:spacing w:after="0" w:line="192" w:lineRule="exact"/>
              <w:ind w:left="4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sz w:val="22"/>
              </w:rPr>
              <w:t xml:space="preserve"> </w:t>
            </w:r>
            <w:r w:rsidR="00C7105F" w:rsidRPr="00E514A2">
              <w:rPr>
                <w:rFonts w:eastAsia="Times New Roman"/>
                <w:color w:val="auto"/>
                <w:sz w:val="20"/>
                <w:szCs w:val="20"/>
              </w:rPr>
              <w:t>Направления целевого использования средств по проекту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Уже произведенные расходы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192" w:lineRule="exact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Планируемые расходы</w:t>
            </w:r>
          </w:p>
          <w:p w:rsidR="00C7105F" w:rsidRPr="00E514A2" w:rsidRDefault="00C7105F" w:rsidP="00C7105F">
            <w:pPr>
              <w:tabs>
                <w:tab w:val="left" w:pos="0"/>
              </w:tabs>
              <w:spacing w:after="0" w:line="192" w:lineRule="exact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до конца проекта</w:t>
            </w:r>
          </w:p>
        </w:tc>
      </w:tr>
      <w:tr w:rsidR="00C7105F" w:rsidRPr="00E514A2" w:rsidTr="00442263">
        <w:trPr>
          <w:trHeight w:val="40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192" w:lineRule="exact"/>
              <w:ind w:left="4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192" w:lineRule="exact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 xml:space="preserve">расходы, планируемые за счет иных источников </w:t>
            </w:r>
            <w:r w:rsidRPr="00E514A2">
              <w:rPr>
                <w:rFonts w:eastAsia="Times New Roman"/>
                <w:i/>
                <w:color w:val="auto"/>
                <w:sz w:val="20"/>
                <w:szCs w:val="20"/>
              </w:rPr>
              <w:t>(банковские кредиты/ собственные средства/ средства бенефициаров/ иных частных инвесторов)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192" w:lineRule="exact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расходы, планируемые за счет займа</w:t>
            </w:r>
          </w:p>
        </w:tc>
      </w:tr>
      <w:tr w:rsidR="00C7105F" w:rsidRPr="00E514A2" w:rsidTr="00442263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142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Научно-исследовательские работы, разработка нового продукта,  в том числе ТЭО, приобретение оборудования для ОКР, инжиниринг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E514A2" w:rsidTr="0044226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142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 xml:space="preserve">Приобретение технологического оборудования, его монтаж, </w:t>
            </w:r>
            <w:proofErr w:type="spellStart"/>
            <w:r w:rsidRPr="00E514A2">
              <w:rPr>
                <w:rFonts w:eastAsia="Times New Roman"/>
                <w:color w:val="auto"/>
                <w:sz w:val="20"/>
                <w:szCs w:val="20"/>
              </w:rPr>
              <w:t>пусконаладка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E514A2" w:rsidTr="00442263">
        <w:trPr>
          <w:trHeight w:val="4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142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Приобретение/строительство/ремонт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E514A2" w:rsidTr="00442263">
        <w:trPr>
          <w:trHeight w:val="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142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160" w:line="259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E514A2" w:rsidTr="00442263">
        <w:trPr>
          <w:trHeight w:val="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142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Приобретение прочего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160" w:line="259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E514A2" w:rsidTr="00442263">
        <w:trPr>
          <w:trHeight w:val="3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142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color w:val="auto"/>
                <w:sz w:val="20"/>
                <w:szCs w:val="20"/>
              </w:rPr>
              <w:t>Закуп оборотных средств для запуска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E514A2" w:rsidTr="00442263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40" w:righ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E514A2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E514A2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8725DB" w:rsidRPr="00E514A2" w:rsidRDefault="008725DB">
      <w:pPr>
        <w:spacing w:after="0" w:line="259" w:lineRule="auto"/>
        <w:ind w:left="0" w:right="0" w:firstLine="0"/>
        <w:jc w:val="left"/>
        <w:rPr>
          <w:sz w:val="22"/>
        </w:rPr>
      </w:pPr>
    </w:p>
    <w:p w:rsidR="00E514A2" w:rsidRPr="00E514A2" w:rsidRDefault="00E514A2" w:rsidP="00E514A2">
      <w:pPr>
        <w:tabs>
          <w:tab w:val="left" w:pos="0"/>
        </w:tabs>
        <w:spacing w:after="0" w:line="240" w:lineRule="auto"/>
        <w:ind w:left="426" w:right="0" w:firstLine="0"/>
        <w:jc w:val="left"/>
        <w:rPr>
          <w:rFonts w:eastAsia="Times New Roman"/>
          <w:color w:val="auto"/>
          <w:sz w:val="22"/>
        </w:rPr>
      </w:pPr>
      <w:r w:rsidRPr="00E514A2">
        <w:rPr>
          <w:rFonts w:eastAsia="Times New Roman"/>
          <w:color w:val="auto"/>
          <w:sz w:val="22"/>
        </w:rPr>
        <w:t xml:space="preserve">Расшифровка источников финансирования проекта: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559"/>
        <w:gridCol w:w="1134"/>
        <w:gridCol w:w="2835"/>
      </w:tblGrid>
      <w:tr w:rsidR="00C7105F" w:rsidRPr="007A431A" w:rsidTr="00442263">
        <w:trPr>
          <w:trHeight w:val="797"/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160" w:line="259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A431A">
              <w:rPr>
                <w:rFonts w:eastAsia="Calibri"/>
                <w:color w:val="auto"/>
                <w:sz w:val="20"/>
                <w:szCs w:val="20"/>
              </w:rPr>
              <w:t>Расшифровка источников финансирования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Год получения</w:t>
            </w:r>
          </w:p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(факт или плановый)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174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74" w:right="92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Полученный результат или цели планируемого финансирования</w:t>
            </w:r>
          </w:p>
        </w:tc>
      </w:tr>
      <w:tr w:rsidR="00C7105F" w:rsidRPr="007A431A" w:rsidTr="00442263">
        <w:trPr>
          <w:trHeight w:val="40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Невозвратные бюджетные средства, включая субсидии и гранты институтов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7A431A" w:rsidTr="00442263">
        <w:trPr>
          <w:trHeight w:val="51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Вклад в уставный капитал (средства бенефициаров, аффилированных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7A431A" w:rsidTr="00442263">
        <w:trPr>
          <w:trHeight w:val="2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 xml:space="preserve">Возвратные средства (кредит, </w:t>
            </w:r>
            <w:proofErr w:type="spellStart"/>
            <w:r w:rsidRPr="007A431A">
              <w:rPr>
                <w:rFonts w:eastAsia="Times New Roman"/>
                <w:color w:val="auto"/>
                <w:sz w:val="20"/>
                <w:szCs w:val="20"/>
              </w:rPr>
              <w:t>займ</w:t>
            </w:r>
            <w:proofErr w:type="spellEnd"/>
            <w:r w:rsidRPr="007A431A">
              <w:rPr>
                <w:rFonts w:eastAsia="Times New Roman"/>
                <w:color w:val="auto"/>
                <w:sz w:val="20"/>
                <w:szCs w:val="20"/>
              </w:rPr>
              <w:t>, лизинг)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C7105F" w:rsidRPr="007A431A" w:rsidTr="00442263">
        <w:trPr>
          <w:trHeight w:val="3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C7105F" w:rsidRPr="007A431A" w:rsidTr="00442263">
        <w:trPr>
          <w:trHeight w:val="23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Иные средства и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7105F" w:rsidRPr="007A431A" w:rsidTr="00442263">
        <w:trPr>
          <w:trHeight w:val="51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Средства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6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C7105F" w:rsidRPr="007A431A" w:rsidTr="00442263">
        <w:trPr>
          <w:trHeight w:val="14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A431A">
              <w:rPr>
                <w:rFonts w:eastAsia="Times New Roman"/>
                <w:color w:val="auto"/>
                <w:sz w:val="20"/>
                <w:szCs w:val="20"/>
              </w:rPr>
              <w:t>Итого 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5F" w:rsidRPr="007A431A" w:rsidRDefault="00C7105F" w:rsidP="00C7105F">
            <w:pPr>
              <w:tabs>
                <w:tab w:val="left" w:pos="0"/>
              </w:tabs>
              <w:spacing w:after="0" w:line="216" w:lineRule="exact"/>
              <w:ind w:left="138" w:right="11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C7105F" w:rsidRDefault="00C7105F">
      <w:pPr>
        <w:spacing w:after="0" w:line="259" w:lineRule="auto"/>
        <w:ind w:left="0" w:right="0" w:firstLine="0"/>
        <w:jc w:val="left"/>
        <w:rPr>
          <w:sz w:val="22"/>
        </w:rPr>
      </w:pPr>
    </w:p>
    <w:p w:rsidR="007A431A" w:rsidRPr="00B177BC" w:rsidRDefault="007A431A" w:rsidP="007A431A">
      <w:pPr>
        <w:spacing w:after="109" w:line="250" w:lineRule="auto"/>
        <w:ind w:left="-5" w:right="0"/>
        <w:jc w:val="left"/>
        <w:rPr>
          <w:color w:val="auto"/>
          <w:sz w:val="23"/>
          <w:szCs w:val="23"/>
        </w:rPr>
      </w:pPr>
      <w:r w:rsidRPr="00B177BC">
        <w:rPr>
          <w:b/>
          <w:color w:val="auto"/>
          <w:sz w:val="23"/>
          <w:szCs w:val="23"/>
        </w:rPr>
        <w:t xml:space="preserve">О возможности изменения Сметы проекта </w:t>
      </w:r>
    </w:p>
    <w:p w:rsidR="007A431A" w:rsidRPr="00E514A2" w:rsidRDefault="007A431A" w:rsidP="00B5215F">
      <w:pPr>
        <w:ind w:left="-15" w:right="52" w:firstLine="698"/>
        <w:rPr>
          <w:sz w:val="22"/>
        </w:rPr>
      </w:pPr>
      <w:r w:rsidRPr="007A431A">
        <w:rPr>
          <w:sz w:val="23"/>
          <w:szCs w:val="23"/>
        </w:rPr>
        <w:t>В случае необходимости доработки сметы проекта на основании рекомендаций и замечаний экспертов Фонда Смета проекта может быть уточнена Заявителем на этапе экспресс-оценки и на более поздних этапах экспертиз проекта Фондом. После заключения договора займа Смета проекта в части средств займа может быть скорректирована Заемщиком без заключения дополнительного соглашения об изменении порядка расходования средств в проекте, если изменения Сметы не приводят к изменению ее итоговой суммы  и суммарно (за весь срок займа) не превышают 10% от суммы изменяемого показателя</w:t>
      </w:r>
      <w:r w:rsidRPr="007A431A">
        <w:rPr>
          <w:sz w:val="23"/>
          <w:szCs w:val="23"/>
          <w:vertAlign w:val="superscript"/>
        </w:rPr>
        <w:footnoteReference w:id="1"/>
      </w:r>
      <w:r w:rsidRPr="007A431A">
        <w:rPr>
          <w:sz w:val="23"/>
          <w:szCs w:val="23"/>
        </w:rPr>
        <w:t xml:space="preserve">, а по показателям, по которым до корректировки не было предусмотрено расходов, – допустимо увеличение на сумму не более </w:t>
      </w:r>
      <w:r w:rsidRPr="00B5215F">
        <w:rPr>
          <w:sz w:val="23"/>
          <w:szCs w:val="23"/>
        </w:rPr>
        <w:t>0,5</w:t>
      </w:r>
      <w:r w:rsidRPr="007A431A">
        <w:rPr>
          <w:sz w:val="23"/>
          <w:szCs w:val="23"/>
        </w:rPr>
        <w:t xml:space="preserve"> млн рублей. </w:t>
      </w:r>
    </w:p>
    <w:sectPr w:rsidR="007A431A" w:rsidRPr="00E514A2" w:rsidSect="00E46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393" w:bottom="68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D2" w:rsidRDefault="00FE3DD2">
      <w:pPr>
        <w:spacing w:after="0" w:line="240" w:lineRule="auto"/>
      </w:pPr>
      <w:r>
        <w:separator/>
      </w:r>
    </w:p>
  </w:endnote>
  <w:endnote w:type="continuationSeparator" w:id="0">
    <w:p w:rsidR="00FE3DD2" w:rsidRDefault="00FE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0" w:line="259" w:lineRule="auto"/>
      <w:ind w:left="0" w:right="4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FD093E" w:rsidRDefault="00FD093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161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77BC" w:rsidRPr="00B177BC" w:rsidRDefault="00B177BC">
        <w:pPr>
          <w:pStyle w:val="a6"/>
          <w:jc w:val="right"/>
          <w:rPr>
            <w:rFonts w:ascii="Arial" w:hAnsi="Arial" w:cs="Arial"/>
            <w:sz w:val="18"/>
            <w:szCs w:val="18"/>
          </w:rPr>
        </w:pPr>
        <w:r w:rsidRPr="00B177BC">
          <w:rPr>
            <w:rFonts w:ascii="Arial" w:hAnsi="Arial" w:cs="Arial"/>
            <w:sz w:val="18"/>
            <w:szCs w:val="18"/>
          </w:rPr>
          <w:fldChar w:fldCharType="begin"/>
        </w:r>
        <w:r w:rsidRPr="00B177BC">
          <w:rPr>
            <w:rFonts w:ascii="Arial" w:hAnsi="Arial" w:cs="Arial"/>
            <w:sz w:val="18"/>
            <w:szCs w:val="18"/>
          </w:rPr>
          <w:instrText>PAGE   \* MERGEFORMAT</w:instrText>
        </w:r>
        <w:r w:rsidRPr="00B177B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Pr="00B177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D093E" w:rsidRDefault="00FD093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D2" w:rsidRDefault="00FE3DD2">
      <w:pPr>
        <w:spacing w:after="0" w:line="240" w:lineRule="auto"/>
      </w:pPr>
      <w:r>
        <w:separator/>
      </w:r>
    </w:p>
  </w:footnote>
  <w:footnote w:type="continuationSeparator" w:id="0">
    <w:p w:rsidR="00FE3DD2" w:rsidRDefault="00FE3DD2">
      <w:pPr>
        <w:spacing w:after="0" w:line="240" w:lineRule="auto"/>
      </w:pPr>
      <w:r>
        <w:continuationSeparator/>
      </w:r>
    </w:p>
  </w:footnote>
  <w:footnote w:id="1">
    <w:p w:rsidR="007A431A" w:rsidRDefault="007A431A" w:rsidP="007A431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2177AF">
        <w:rPr>
          <w:rFonts w:ascii="Arial" w:hAnsi="Arial" w:cs="Arial"/>
          <w:sz w:val="18"/>
          <w:szCs w:val="18"/>
        </w:rPr>
        <w:t xml:space="preserve">показатель </w:t>
      </w:r>
      <w:r w:rsidRPr="002177AF">
        <w:rPr>
          <w:rFonts w:ascii="Arial" w:eastAsia="Arial" w:hAnsi="Arial" w:cs="Arial"/>
          <w:sz w:val="18"/>
          <w:szCs w:val="18"/>
        </w:rPr>
        <w:t xml:space="preserve">– </w:t>
      </w:r>
      <w:r w:rsidRPr="002177AF">
        <w:rPr>
          <w:rFonts w:ascii="Arial" w:hAnsi="Arial" w:cs="Arial"/>
          <w:sz w:val="18"/>
          <w:szCs w:val="18"/>
        </w:rPr>
        <w:t>предусмотренная Сметой сумма расходов средств Займа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449579</wp:posOffset>
          </wp:positionV>
          <wp:extent cx="1437622" cy="427354"/>
          <wp:effectExtent l="0" t="0" r="0" b="0"/>
          <wp:wrapSquare wrapText="bothSides"/>
          <wp:docPr id="64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622" cy="427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0" w:line="259" w:lineRule="auto"/>
      <w:ind w:left="0" w:right="0" w:firstLine="0"/>
      <w:jc w:val="left"/>
    </w:pPr>
    <w:r>
      <w:t xml:space="preserve"> </w:t>
    </w:r>
    <w:r w:rsidRPr="00816AF6">
      <w:rPr>
        <w:b/>
        <w:noProof/>
        <w:sz w:val="18"/>
        <w:szCs w:val="18"/>
      </w:rPr>
      <w:drawing>
        <wp:inline distT="0" distB="0" distL="0" distR="0">
          <wp:extent cx="2047875" cy="590550"/>
          <wp:effectExtent l="0" t="0" r="9525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160" w:line="259" w:lineRule="auto"/>
      <w:ind w:left="0" w:right="0" w:firstLine="0"/>
      <w:jc w:val="left"/>
    </w:pPr>
    <w:r w:rsidRPr="00816AF6">
      <w:rPr>
        <w:b/>
        <w:noProof/>
        <w:sz w:val="18"/>
        <w:szCs w:val="18"/>
      </w:rPr>
      <w:drawing>
        <wp:inline distT="0" distB="0" distL="0" distR="0">
          <wp:extent cx="2047875" cy="590550"/>
          <wp:effectExtent l="0" t="0" r="9525" b="0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35" style="width:9pt;height:9.75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numPicBullet w:numPicBulletId="1">
    <w:pict>
      <v:shape id="_x0000_i1136" style="width:9pt;height:9pt" coordsize="" o:spt="100" o:bullet="t" adj="0,,0" path="" stroked="f">
        <v:stroke joinstyle="miter"/>
        <v:imagedata r:id="rId2" o:title="image44"/>
        <v:formulas/>
        <v:path o:connecttype="segments"/>
      </v:shape>
    </w:pict>
  </w:numPicBullet>
  <w:abstractNum w:abstractNumId="0" w15:restartNumberingAfterBreak="0">
    <w:nsid w:val="03EC2B93"/>
    <w:multiLevelType w:val="hybridMultilevel"/>
    <w:tmpl w:val="B394A644"/>
    <w:lvl w:ilvl="0" w:tplc="8A3C80C6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6855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172B6"/>
    <w:multiLevelType w:val="hybridMultilevel"/>
    <w:tmpl w:val="03A89F90"/>
    <w:lvl w:ilvl="0" w:tplc="CA466242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BBB8">
      <w:start w:val="1"/>
      <w:numFmt w:val="bullet"/>
      <w:lvlText w:val="o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02A98">
      <w:start w:val="1"/>
      <w:numFmt w:val="bullet"/>
      <w:lvlText w:val="▪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9436">
      <w:start w:val="1"/>
      <w:numFmt w:val="bullet"/>
      <w:lvlText w:val="•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8A4F8">
      <w:start w:val="1"/>
      <w:numFmt w:val="bullet"/>
      <w:lvlText w:val="o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E6866">
      <w:start w:val="1"/>
      <w:numFmt w:val="bullet"/>
      <w:lvlText w:val="▪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0856E">
      <w:start w:val="1"/>
      <w:numFmt w:val="bullet"/>
      <w:lvlText w:val="•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E1AEA">
      <w:start w:val="1"/>
      <w:numFmt w:val="bullet"/>
      <w:lvlText w:val="o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4DBFA">
      <w:start w:val="1"/>
      <w:numFmt w:val="bullet"/>
      <w:lvlText w:val="▪"/>
      <w:lvlJc w:val="left"/>
      <w:pPr>
        <w:ind w:left="6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56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A4A69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771FDB"/>
    <w:multiLevelType w:val="hybridMultilevel"/>
    <w:tmpl w:val="3FBEDF64"/>
    <w:lvl w:ilvl="0" w:tplc="B55AED18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187461F4"/>
    <w:multiLevelType w:val="hybridMultilevel"/>
    <w:tmpl w:val="337A3384"/>
    <w:lvl w:ilvl="0" w:tplc="A9C6BD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99A375C">
      <w:start w:val="1"/>
      <w:numFmt w:val="bullet"/>
      <w:lvlText w:val="o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E4A86BA">
      <w:start w:val="1"/>
      <w:numFmt w:val="bullet"/>
      <w:lvlRestart w:val="0"/>
      <w:lvlText w:val="•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D241DC4">
      <w:start w:val="1"/>
      <w:numFmt w:val="bullet"/>
      <w:lvlText w:val="•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3B0E172">
      <w:start w:val="1"/>
      <w:numFmt w:val="bullet"/>
      <w:lvlText w:val="o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60B68A48">
      <w:start w:val="1"/>
      <w:numFmt w:val="bullet"/>
      <w:lvlText w:val="▪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DAAC8EC">
      <w:start w:val="1"/>
      <w:numFmt w:val="bullet"/>
      <w:lvlText w:val="•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306DCC8">
      <w:start w:val="1"/>
      <w:numFmt w:val="bullet"/>
      <w:lvlText w:val="o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6C834C">
      <w:start w:val="1"/>
      <w:numFmt w:val="bullet"/>
      <w:lvlText w:val="▪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E05EE"/>
    <w:multiLevelType w:val="hybridMultilevel"/>
    <w:tmpl w:val="5FF2413A"/>
    <w:lvl w:ilvl="0" w:tplc="B55AED1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1CC0275F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4D7AA4"/>
    <w:multiLevelType w:val="hybridMultilevel"/>
    <w:tmpl w:val="11A2D98E"/>
    <w:lvl w:ilvl="0" w:tplc="041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213F1BE5"/>
    <w:multiLevelType w:val="hybridMultilevel"/>
    <w:tmpl w:val="FB9AD256"/>
    <w:lvl w:ilvl="0" w:tplc="D5DA865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12DF"/>
    <w:multiLevelType w:val="hybridMultilevel"/>
    <w:tmpl w:val="D7E89B44"/>
    <w:lvl w:ilvl="0" w:tplc="8A3C80C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D4B78"/>
    <w:multiLevelType w:val="hybridMultilevel"/>
    <w:tmpl w:val="EE78000A"/>
    <w:lvl w:ilvl="0" w:tplc="8A3C80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6F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0EF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CD52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41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C328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E717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895F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077C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7F3853"/>
    <w:multiLevelType w:val="hybridMultilevel"/>
    <w:tmpl w:val="F8A0AEB4"/>
    <w:lvl w:ilvl="0" w:tplc="BA9EBDD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09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CAC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CC2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0E3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99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8A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F8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ABB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E17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F804CC"/>
    <w:multiLevelType w:val="hybridMultilevel"/>
    <w:tmpl w:val="701656FA"/>
    <w:lvl w:ilvl="0" w:tplc="4CEEA1B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A6A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C7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28BA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246D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65C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416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0ACE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91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CD3111"/>
    <w:multiLevelType w:val="hybridMultilevel"/>
    <w:tmpl w:val="14A66C78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38FD703F"/>
    <w:multiLevelType w:val="hybridMultilevel"/>
    <w:tmpl w:val="D418569A"/>
    <w:lvl w:ilvl="0" w:tplc="8A3C80C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58AB"/>
    <w:multiLevelType w:val="multilevel"/>
    <w:tmpl w:val="AAE0E18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C61813"/>
    <w:multiLevelType w:val="hybridMultilevel"/>
    <w:tmpl w:val="970E801C"/>
    <w:lvl w:ilvl="0" w:tplc="062C0E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AE2140">
      <w:start w:val="1"/>
      <w:numFmt w:val="bullet"/>
      <w:lvlText w:val="o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A3C80C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A05A">
      <w:start w:val="1"/>
      <w:numFmt w:val="bullet"/>
      <w:lvlText w:val="•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B2C8E60">
      <w:start w:val="1"/>
      <w:numFmt w:val="bullet"/>
      <w:lvlText w:val="o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77EE1A0">
      <w:start w:val="1"/>
      <w:numFmt w:val="bullet"/>
      <w:lvlText w:val="▪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A5EF88E">
      <w:start w:val="1"/>
      <w:numFmt w:val="bullet"/>
      <w:lvlText w:val="•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28276DA">
      <w:start w:val="1"/>
      <w:numFmt w:val="bullet"/>
      <w:lvlText w:val="o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B8D13E">
      <w:start w:val="1"/>
      <w:numFmt w:val="bullet"/>
      <w:lvlText w:val="▪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446843"/>
    <w:multiLevelType w:val="hybridMultilevel"/>
    <w:tmpl w:val="E91EC744"/>
    <w:lvl w:ilvl="0" w:tplc="EE70F2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10C1E26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5AED18">
      <w:start w:val="1"/>
      <w:numFmt w:val="bullet"/>
      <w:lvlText w:val=""/>
      <w:lvlJc w:val="left"/>
      <w:pPr>
        <w:ind w:left="827"/>
      </w:pPr>
      <w:rPr>
        <w:rFonts w:ascii="Symbol" w:hAnsi="Symbol" w:hint="default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7243320">
      <w:start w:val="1"/>
      <w:numFmt w:val="bullet"/>
      <w:lvlText w:val="•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EBE3580">
      <w:start w:val="1"/>
      <w:numFmt w:val="bullet"/>
      <w:lvlText w:val="o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78E95D4">
      <w:start w:val="1"/>
      <w:numFmt w:val="bullet"/>
      <w:lvlText w:val="▪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B7A73B4">
      <w:start w:val="1"/>
      <w:numFmt w:val="bullet"/>
      <w:lvlText w:val="•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8D6C08A">
      <w:start w:val="1"/>
      <w:numFmt w:val="bullet"/>
      <w:lvlText w:val="o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892E996">
      <w:start w:val="1"/>
      <w:numFmt w:val="bullet"/>
      <w:lvlText w:val="▪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005337"/>
    <w:multiLevelType w:val="hybridMultilevel"/>
    <w:tmpl w:val="2CDA184C"/>
    <w:lvl w:ilvl="0" w:tplc="B55A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05E2"/>
    <w:multiLevelType w:val="hybridMultilevel"/>
    <w:tmpl w:val="D10C3B22"/>
    <w:lvl w:ilvl="0" w:tplc="042ECAB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800A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6001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0893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25F4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EF10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8ED9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26C9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6BF7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A8090C"/>
    <w:multiLevelType w:val="hybridMultilevel"/>
    <w:tmpl w:val="A222622E"/>
    <w:lvl w:ilvl="0" w:tplc="B55AED18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4" w15:restartNumberingAfterBreak="0">
    <w:nsid w:val="490E5940"/>
    <w:multiLevelType w:val="hybridMultilevel"/>
    <w:tmpl w:val="6E2E4DFA"/>
    <w:lvl w:ilvl="0" w:tplc="B55AED1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 w15:restartNumberingAfterBreak="0">
    <w:nsid w:val="498E1438"/>
    <w:multiLevelType w:val="hybridMultilevel"/>
    <w:tmpl w:val="B0925E78"/>
    <w:lvl w:ilvl="0" w:tplc="9CC48512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65AB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E5EC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8E77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982C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4404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26A9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0EC8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417C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107E6A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A6783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77345F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1A4A59"/>
    <w:multiLevelType w:val="hybridMultilevel"/>
    <w:tmpl w:val="0B9493F2"/>
    <w:lvl w:ilvl="0" w:tplc="2EE68C90">
      <w:start w:val="1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960B12">
      <w:start w:val="1"/>
      <w:numFmt w:val="lowerLetter"/>
      <w:lvlText w:val="%2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5641B6">
      <w:start w:val="1"/>
      <w:numFmt w:val="lowerRoman"/>
      <w:lvlText w:val="%3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92EE84">
      <w:start w:val="1"/>
      <w:numFmt w:val="decimal"/>
      <w:lvlText w:val="%4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680454">
      <w:start w:val="1"/>
      <w:numFmt w:val="lowerLetter"/>
      <w:lvlText w:val="%5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C65374">
      <w:start w:val="1"/>
      <w:numFmt w:val="lowerRoman"/>
      <w:lvlText w:val="%6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547FF0">
      <w:start w:val="1"/>
      <w:numFmt w:val="decimal"/>
      <w:lvlText w:val="%7"/>
      <w:lvlJc w:val="left"/>
      <w:pPr>
        <w:ind w:left="7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B64FEC">
      <w:start w:val="1"/>
      <w:numFmt w:val="lowerLetter"/>
      <w:lvlText w:val="%8"/>
      <w:lvlJc w:val="left"/>
      <w:pPr>
        <w:ind w:left="8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90C1FA">
      <w:start w:val="1"/>
      <w:numFmt w:val="lowerRoman"/>
      <w:lvlText w:val="%9"/>
      <w:lvlJc w:val="left"/>
      <w:pPr>
        <w:ind w:left="9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343974"/>
    <w:multiLevelType w:val="hybridMultilevel"/>
    <w:tmpl w:val="D0EC936A"/>
    <w:lvl w:ilvl="0" w:tplc="F0C084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A8012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8657E">
      <w:start w:val="1"/>
      <w:numFmt w:val="bullet"/>
      <w:lvlRestart w:val="0"/>
      <w:lvlText w:val="•"/>
      <w:lvlPicBulletId w:val="1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E4C54">
      <w:start w:val="1"/>
      <w:numFmt w:val="bullet"/>
      <w:lvlText w:val="•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E0742">
      <w:start w:val="1"/>
      <w:numFmt w:val="bullet"/>
      <w:lvlText w:val="o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86898">
      <w:start w:val="1"/>
      <w:numFmt w:val="bullet"/>
      <w:lvlText w:val="▪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8B112">
      <w:start w:val="1"/>
      <w:numFmt w:val="bullet"/>
      <w:lvlText w:val="•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4D74E">
      <w:start w:val="1"/>
      <w:numFmt w:val="bullet"/>
      <w:lvlText w:val="o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2B1AE">
      <w:start w:val="1"/>
      <w:numFmt w:val="bullet"/>
      <w:lvlText w:val="▪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1019FD"/>
    <w:multiLevelType w:val="hybridMultilevel"/>
    <w:tmpl w:val="5868FD3A"/>
    <w:lvl w:ilvl="0" w:tplc="B55AED1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57077519"/>
    <w:multiLevelType w:val="hybridMultilevel"/>
    <w:tmpl w:val="18141EC6"/>
    <w:lvl w:ilvl="0" w:tplc="04AA3B38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69EE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44D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C422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EDFA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62D6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E92E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E685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A1E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3042CD"/>
    <w:multiLevelType w:val="hybridMultilevel"/>
    <w:tmpl w:val="E4AAF01A"/>
    <w:lvl w:ilvl="0" w:tplc="B55AED1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5DD15F6E"/>
    <w:multiLevelType w:val="hybridMultilevel"/>
    <w:tmpl w:val="9416AE3C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5" w15:restartNumberingAfterBreak="0">
    <w:nsid w:val="5FEB7F4D"/>
    <w:multiLevelType w:val="hybridMultilevel"/>
    <w:tmpl w:val="8C50642A"/>
    <w:lvl w:ilvl="0" w:tplc="B55A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50F23"/>
    <w:multiLevelType w:val="hybridMultilevel"/>
    <w:tmpl w:val="A43299D4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7" w15:restartNumberingAfterBreak="0">
    <w:nsid w:val="64711BDC"/>
    <w:multiLevelType w:val="hybridMultilevel"/>
    <w:tmpl w:val="10A29220"/>
    <w:lvl w:ilvl="0" w:tplc="705AB9FE">
      <w:start w:val="1"/>
      <w:numFmt w:val="bullet"/>
      <w:lvlText w:val="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A4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641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B2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28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025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50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EB78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BD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4B0756"/>
    <w:multiLevelType w:val="multilevel"/>
    <w:tmpl w:val="C616D3BE"/>
    <w:lvl w:ilvl="0">
      <w:start w:val="4"/>
      <w:numFmt w:val="decimal"/>
      <w:lvlText w:val="%1."/>
      <w:lvlJc w:val="left"/>
      <w:pPr>
        <w:ind w:left="460"/>
      </w:pPr>
      <w:rPr>
        <w:rFonts w:ascii="Arial Narrow" w:eastAsia="Times New Roman" w:hAnsi="Arial Narrow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0D4DF9"/>
    <w:multiLevelType w:val="hybridMultilevel"/>
    <w:tmpl w:val="A5566676"/>
    <w:lvl w:ilvl="0" w:tplc="8A3C80C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66582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381EBA"/>
    <w:multiLevelType w:val="hybridMultilevel"/>
    <w:tmpl w:val="EEFE4766"/>
    <w:lvl w:ilvl="0" w:tplc="8A3C80C6">
      <w:start w:val="1"/>
      <w:numFmt w:val="bullet"/>
      <w:lvlText w:val="•"/>
      <w:lvlJc w:val="left"/>
      <w:pPr>
        <w:ind w:left="114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2" w15:restartNumberingAfterBreak="0">
    <w:nsid w:val="76EA32F0"/>
    <w:multiLevelType w:val="hybridMultilevel"/>
    <w:tmpl w:val="B468842A"/>
    <w:lvl w:ilvl="0" w:tplc="CA4405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126B76">
      <w:start w:val="1"/>
      <w:numFmt w:val="bullet"/>
      <w:lvlText w:val="o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2C9FBC">
      <w:start w:val="1"/>
      <w:numFmt w:val="bullet"/>
      <w:lvlText w:val="•"/>
      <w:lvlPicBulletId w:val="0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3E8218">
      <w:start w:val="1"/>
      <w:numFmt w:val="bullet"/>
      <w:lvlText w:val="•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FC9C0A">
      <w:start w:val="1"/>
      <w:numFmt w:val="bullet"/>
      <w:lvlText w:val="o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A0B14">
      <w:start w:val="1"/>
      <w:numFmt w:val="bullet"/>
      <w:lvlText w:val="▪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B43E74">
      <w:start w:val="1"/>
      <w:numFmt w:val="bullet"/>
      <w:lvlText w:val="•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7CE15C">
      <w:start w:val="1"/>
      <w:numFmt w:val="bullet"/>
      <w:lvlText w:val="o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2639AA">
      <w:start w:val="1"/>
      <w:numFmt w:val="bullet"/>
      <w:lvlText w:val="▪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537ADC"/>
    <w:multiLevelType w:val="hybridMultilevel"/>
    <w:tmpl w:val="551C6338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4" w15:restartNumberingAfterBreak="0">
    <w:nsid w:val="795918E9"/>
    <w:multiLevelType w:val="hybridMultilevel"/>
    <w:tmpl w:val="298AE29C"/>
    <w:lvl w:ilvl="0" w:tplc="8A3C80C6">
      <w:start w:val="1"/>
      <w:numFmt w:val="bullet"/>
      <w:lvlText w:val="•"/>
      <w:lvlJc w:val="left"/>
      <w:pPr>
        <w:ind w:left="14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A9864CC"/>
    <w:multiLevelType w:val="hybridMultilevel"/>
    <w:tmpl w:val="640A301E"/>
    <w:lvl w:ilvl="0" w:tplc="0419000D">
      <w:start w:val="1"/>
      <w:numFmt w:val="bullet"/>
      <w:lvlText w:val=""/>
      <w:lvlJc w:val="left"/>
      <w:pPr>
        <w:ind w:left="15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6" w15:restartNumberingAfterBreak="0">
    <w:nsid w:val="7B7A5C4E"/>
    <w:multiLevelType w:val="hybridMultilevel"/>
    <w:tmpl w:val="3752B0FE"/>
    <w:lvl w:ilvl="0" w:tplc="7228CE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E25C79"/>
    <w:multiLevelType w:val="hybridMultilevel"/>
    <w:tmpl w:val="3B361572"/>
    <w:lvl w:ilvl="0" w:tplc="8A3C80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63534"/>
    <w:multiLevelType w:val="hybridMultilevel"/>
    <w:tmpl w:val="8AF67050"/>
    <w:lvl w:ilvl="0" w:tplc="B55AED1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5"/>
  </w:num>
  <w:num w:numId="4">
    <w:abstractNumId w:val="2"/>
  </w:num>
  <w:num w:numId="5">
    <w:abstractNumId w:val="22"/>
  </w:num>
  <w:num w:numId="6">
    <w:abstractNumId w:val="12"/>
  </w:num>
  <w:num w:numId="7">
    <w:abstractNumId w:val="32"/>
  </w:num>
  <w:num w:numId="8">
    <w:abstractNumId w:val="18"/>
  </w:num>
  <w:num w:numId="9">
    <w:abstractNumId w:val="45"/>
  </w:num>
  <w:num w:numId="10">
    <w:abstractNumId w:val="8"/>
  </w:num>
  <w:num w:numId="11">
    <w:abstractNumId w:val="10"/>
  </w:num>
  <w:num w:numId="12">
    <w:abstractNumId w:val="46"/>
  </w:num>
  <w:num w:numId="13">
    <w:abstractNumId w:val="14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47"/>
  </w:num>
  <w:num w:numId="19">
    <w:abstractNumId w:val="11"/>
  </w:num>
  <w:num w:numId="20">
    <w:abstractNumId w:val="31"/>
  </w:num>
  <w:num w:numId="21">
    <w:abstractNumId w:val="7"/>
  </w:num>
  <w:num w:numId="22">
    <w:abstractNumId w:val="28"/>
  </w:num>
  <w:num w:numId="23">
    <w:abstractNumId w:val="27"/>
  </w:num>
  <w:num w:numId="24">
    <w:abstractNumId w:val="17"/>
  </w:num>
  <w:num w:numId="25">
    <w:abstractNumId w:val="39"/>
  </w:num>
  <w:num w:numId="26">
    <w:abstractNumId w:val="29"/>
  </w:num>
  <w:num w:numId="27">
    <w:abstractNumId w:val="6"/>
  </w:num>
  <w:num w:numId="28">
    <w:abstractNumId w:val="19"/>
  </w:num>
  <w:num w:numId="29">
    <w:abstractNumId w:val="38"/>
  </w:num>
  <w:num w:numId="30">
    <w:abstractNumId w:val="42"/>
  </w:num>
  <w:num w:numId="31">
    <w:abstractNumId w:val="20"/>
  </w:num>
  <w:num w:numId="32">
    <w:abstractNumId w:val="30"/>
  </w:num>
  <w:num w:numId="33">
    <w:abstractNumId w:val="26"/>
  </w:num>
  <w:num w:numId="34">
    <w:abstractNumId w:val="44"/>
  </w:num>
  <w:num w:numId="35">
    <w:abstractNumId w:val="48"/>
  </w:num>
  <w:num w:numId="36">
    <w:abstractNumId w:val="33"/>
  </w:num>
  <w:num w:numId="37">
    <w:abstractNumId w:val="40"/>
  </w:num>
  <w:num w:numId="38">
    <w:abstractNumId w:val="21"/>
  </w:num>
  <w:num w:numId="39">
    <w:abstractNumId w:val="24"/>
  </w:num>
  <w:num w:numId="40">
    <w:abstractNumId w:val="5"/>
  </w:num>
  <w:num w:numId="41">
    <w:abstractNumId w:val="34"/>
  </w:num>
  <w:num w:numId="42">
    <w:abstractNumId w:val="43"/>
  </w:num>
  <w:num w:numId="43">
    <w:abstractNumId w:val="35"/>
  </w:num>
  <w:num w:numId="44">
    <w:abstractNumId w:val="36"/>
  </w:num>
  <w:num w:numId="45">
    <w:abstractNumId w:val="16"/>
  </w:num>
  <w:num w:numId="46">
    <w:abstractNumId w:val="9"/>
  </w:num>
  <w:num w:numId="47">
    <w:abstractNumId w:val="23"/>
  </w:num>
  <w:num w:numId="48">
    <w:abstractNumId w:val="4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DB"/>
    <w:rsid w:val="000320AC"/>
    <w:rsid w:val="000E3E6F"/>
    <w:rsid w:val="0013308F"/>
    <w:rsid w:val="00187797"/>
    <w:rsid w:val="0021572E"/>
    <w:rsid w:val="002177AF"/>
    <w:rsid w:val="00342B66"/>
    <w:rsid w:val="00373D0D"/>
    <w:rsid w:val="003A5301"/>
    <w:rsid w:val="003F10B2"/>
    <w:rsid w:val="00536AB7"/>
    <w:rsid w:val="005520DA"/>
    <w:rsid w:val="005B66D3"/>
    <w:rsid w:val="005C364D"/>
    <w:rsid w:val="005E4B76"/>
    <w:rsid w:val="00686FF6"/>
    <w:rsid w:val="006F4947"/>
    <w:rsid w:val="00701C5F"/>
    <w:rsid w:val="00766F33"/>
    <w:rsid w:val="007A431A"/>
    <w:rsid w:val="0081325E"/>
    <w:rsid w:val="00833C37"/>
    <w:rsid w:val="00854919"/>
    <w:rsid w:val="008725DB"/>
    <w:rsid w:val="0087776B"/>
    <w:rsid w:val="00934BE2"/>
    <w:rsid w:val="009441FF"/>
    <w:rsid w:val="009859A1"/>
    <w:rsid w:val="00985B49"/>
    <w:rsid w:val="00A869FA"/>
    <w:rsid w:val="00A9326D"/>
    <w:rsid w:val="00AD786B"/>
    <w:rsid w:val="00B177BC"/>
    <w:rsid w:val="00B5215F"/>
    <w:rsid w:val="00C10A3D"/>
    <w:rsid w:val="00C46F10"/>
    <w:rsid w:val="00C7105F"/>
    <w:rsid w:val="00C83A4F"/>
    <w:rsid w:val="00CA79AE"/>
    <w:rsid w:val="00D12786"/>
    <w:rsid w:val="00D2437E"/>
    <w:rsid w:val="00D504D3"/>
    <w:rsid w:val="00DE6D15"/>
    <w:rsid w:val="00DF2E46"/>
    <w:rsid w:val="00E35967"/>
    <w:rsid w:val="00E454E3"/>
    <w:rsid w:val="00E46E65"/>
    <w:rsid w:val="00E514A2"/>
    <w:rsid w:val="00E75AA7"/>
    <w:rsid w:val="00EA58EF"/>
    <w:rsid w:val="00F304E8"/>
    <w:rsid w:val="00F363CC"/>
    <w:rsid w:val="00F76F99"/>
    <w:rsid w:val="00FB7C6F"/>
    <w:rsid w:val="00FC14E2"/>
    <w:rsid w:val="00FD093E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1EA4"/>
  <w15:docId w15:val="{E6C244B7-8E18-4842-9593-EB82E3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3551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"/>
      <w:ind w:left="10" w:right="45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36A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3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5C364D"/>
    <w:pPr>
      <w:spacing w:after="0" w:line="223" w:lineRule="auto"/>
      <w:ind w:right="288" w:firstLine="7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5C364D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5C364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4">
    <w:name w:val="header"/>
    <w:basedOn w:val="a"/>
    <w:link w:val="a5"/>
    <w:uiPriority w:val="99"/>
    <w:unhideWhenUsed/>
    <w:rsid w:val="005C364D"/>
    <w:pPr>
      <w:tabs>
        <w:tab w:val="center" w:pos="4677"/>
        <w:tab w:val="right" w:pos="9355"/>
      </w:tabs>
      <w:spacing w:after="0" w:line="240" w:lineRule="auto"/>
      <w:ind w:left="1579" w:right="0" w:hanging="3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C364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304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304E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4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Юмалин Дмитрий Павлович</dc:creator>
  <cp:keywords/>
  <dc:description/>
  <cp:lastModifiedBy>Пользователь Windows</cp:lastModifiedBy>
  <cp:revision>11</cp:revision>
  <cp:lastPrinted>2021-07-27T03:43:00Z</cp:lastPrinted>
  <dcterms:created xsi:type="dcterms:W3CDTF">2021-07-23T07:04:00Z</dcterms:created>
  <dcterms:modified xsi:type="dcterms:W3CDTF">2021-07-27T08:47:00Z</dcterms:modified>
</cp:coreProperties>
</file>